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A3C03" w14:textId="253A56AF" w:rsidR="00074549" w:rsidRPr="00074549" w:rsidRDefault="00074549" w:rsidP="00074549">
      <w:pPr>
        <w:jc w:val="center"/>
        <w:rPr>
          <w:b/>
          <w:bCs/>
          <w:sz w:val="24"/>
          <w:szCs w:val="24"/>
        </w:rPr>
      </w:pPr>
      <w:r w:rsidRPr="00074549">
        <w:rPr>
          <w:b/>
          <w:bCs/>
          <w:sz w:val="24"/>
          <w:szCs w:val="24"/>
        </w:rPr>
        <w:t>Consultations publiques du PGIRE</w:t>
      </w:r>
    </w:p>
    <w:p w14:paraId="3769EF5A" w14:textId="4A71031B" w:rsidR="00074549" w:rsidRDefault="00074549" w:rsidP="00074549">
      <w:pPr>
        <w:jc w:val="center"/>
      </w:pPr>
      <w:r w:rsidRPr="00074549">
        <w:rPr>
          <w:b/>
          <w:bCs/>
          <w:sz w:val="24"/>
          <w:szCs w:val="24"/>
        </w:rPr>
        <w:t>Février 2026</w:t>
      </w:r>
    </w:p>
    <w:p w14:paraId="0FFFEC14" w14:textId="77777777" w:rsidR="00074549" w:rsidRDefault="00074549"/>
    <w:p w14:paraId="73285EDE" w14:textId="179DC4C1" w:rsidR="007B3C39" w:rsidRDefault="00074549" w:rsidP="00073080">
      <w:pPr>
        <w:jc w:val="center"/>
        <w:rPr>
          <w:b/>
          <w:bCs/>
          <w:sz w:val="24"/>
          <w:szCs w:val="24"/>
        </w:rPr>
      </w:pPr>
      <w:r w:rsidRPr="00074549">
        <w:rPr>
          <w:b/>
          <w:bCs/>
          <w:sz w:val="24"/>
          <w:szCs w:val="24"/>
        </w:rPr>
        <w:t>Note d'opinion par Michel Denault, HEC Montréal</w:t>
      </w:r>
    </w:p>
    <w:p w14:paraId="31A317B8" w14:textId="77777777" w:rsidR="001126F4" w:rsidRDefault="001126F4" w:rsidP="00073080">
      <w:pPr>
        <w:jc w:val="center"/>
        <w:rPr>
          <w:b/>
          <w:bCs/>
          <w:sz w:val="24"/>
          <w:szCs w:val="24"/>
        </w:rPr>
      </w:pPr>
    </w:p>
    <w:p w14:paraId="74C2FE75" w14:textId="77777777" w:rsidR="001126F4" w:rsidRPr="001126F4" w:rsidRDefault="001126F4" w:rsidP="001126F4">
      <w:pPr>
        <w:jc w:val="center"/>
        <w:rPr>
          <w:b/>
          <w:bCs/>
          <w:sz w:val="24"/>
          <w:szCs w:val="24"/>
        </w:rPr>
      </w:pPr>
      <w:r w:rsidRPr="001126F4">
        <w:rPr>
          <w:b/>
          <w:bCs/>
          <w:sz w:val="24"/>
          <w:szCs w:val="24"/>
        </w:rPr>
        <w:t xml:space="preserve">De l'importance économique de l'efficacité énergétique </w:t>
      </w:r>
    </w:p>
    <w:p w14:paraId="6A152228" w14:textId="77777777" w:rsidR="00074549" w:rsidRDefault="00074549"/>
    <w:p w14:paraId="1403175D" w14:textId="39274D4F" w:rsidR="00074549" w:rsidRDefault="00074549" w:rsidP="00A22126">
      <w:pPr>
        <w:jc w:val="both"/>
      </w:pPr>
      <w:r>
        <w:t xml:space="preserve">Ma recherche porte depuis quelques années sur l'optimisation de la transition énergétique, au Québec en particulier. Je </w:t>
      </w:r>
      <w:r w:rsidR="00A22126">
        <w:t>n'</w:t>
      </w:r>
      <w:r w:rsidR="00D54081">
        <w:t xml:space="preserve">insiste ici </w:t>
      </w:r>
      <w:r>
        <w:t>que sur</w:t>
      </w:r>
      <w:r w:rsidR="00A22126">
        <w:t xml:space="preserve"> une des </w:t>
      </w:r>
      <w:r w:rsidR="00D54081">
        <w:t xml:space="preserve">conclusions auxquelles </w:t>
      </w:r>
      <w:r w:rsidR="00A22126">
        <w:t xml:space="preserve">nous </w:t>
      </w:r>
      <w:r w:rsidR="00D54081">
        <w:t xml:space="preserve">arrivons. </w:t>
      </w:r>
    </w:p>
    <w:p w14:paraId="0F0D3533" w14:textId="6364453C" w:rsidR="00074549" w:rsidRDefault="00074549"/>
    <w:p w14:paraId="5F4B8A25" w14:textId="0CE2C509" w:rsidR="00822206" w:rsidRDefault="00A22126" w:rsidP="00073080">
      <w:pPr>
        <w:jc w:val="both"/>
      </w:pPr>
      <w:r>
        <w:t>Avec des</w:t>
      </w:r>
      <w:r w:rsidR="00D54081">
        <w:t xml:space="preserve"> co</w:t>
      </w:r>
      <w:r>
        <w:t>llègues, j'ai</w:t>
      </w:r>
      <w:r w:rsidR="00D54081">
        <w:t xml:space="preserve"> calculé</w:t>
      </w:r>
      <w:r>
        <w:t xml:space="preserve"> au cours de la dernière année</w:t>
      </w:r>
      <w:r w:rsidR="00D54081">
        <w:t xml:space="preserve"> la valeur de l'efficacité électrique, </w:t>
      </w:r>
      <w:r w:rsidR="00822206">
        <w:t>qui compare le coût de production d'</w:t>
      </w:r>
      <w:r w:rsidR="00D54081">
        <w:t xml:space="preserve">un kWh, </w:t>
      </w:r>
      <w:r w:rsidR="00822206">
        <w:t>avec l'investissement requis</w:t>
      </w:r>
      <w:r w:rsidR="00D54081">
        <w:t xml:space="preserve"> pour </w:t>
      </w:r>
      <w:r w:rsidR="00822206">
        <w:t>obtenir le même service énergétique sans production d'électricité</w:t>
      </w:r>
      <w:r w:rsidR="00AB2A92">
        <w:rPr>
          <w:rStyle w:val="Appelnotedebasdep"/>
        </w:rPr>
        <w:footnoteReference w:id="1"/>
      </w:r>
      <w:r w:rsidR="00822206">
        <w:t xml:space="preserve">. </w:t>
      </w:r>
    </w:p>
    <w:p w14:paraId="6FF5D93D" w14:textId="77777777" w:rsidR="00BB0F82" w:rsidRDefault="00BB0F82" w:rsidP="00073080">
      <w:pPr>
        <w:jc w:val="both"/>
      </w:pPr>
    </w:p>
    <w:p w14:paraId="65A5AD8C" w14:textId="46AB6EA8" w:rsidR="00D52473" w:rsidRPr="00D52473" w:rsidRDefault="00D52473" w:rsidP="00073080">
      <w:pPr>
        <w:jc w:val="both"/>
        <w:rPr>
          <w:b/>
          <w:bCs/>
        </w:rPr>
      </w:pPr>
      <w:r w:rsidRPr="00D52473">
        <w:rPr>
          <w:b/>
          <w:bCs/>
        </w:rPr>
        <w:t>Contexte</w:t>
      </w:r>
    </w:p>
    <w:p w14:paraId="3DA08AAE" w14:textId="421868B2" w:rsidR="00D52473" w:rsidRDefault="00D52473" w:rsidP="00D52473">
      <w:pPr>
        <w:pStyle w:val="Paragraphedeliste"/>
        <w:numPr>
          <w:ilvl w:val="0"/>
          <w:numId w:val="1"/>
        </w:numPr>
        <w:jc w:val="both"/>
      </w:pPr>
      <w:r>
        <w:t xml:space="preserve">Notre modèle </w:t>
      </w:r>
      <w:r w:rsidR="00BA7486">
        <w:t xml:space="preserve">couvre le </w:t>
      </w:r>
      <w:r>
        <w:t xml:space="preserve">système électrique </w:t>
      </w:r>
      <w:r w:rsidR="00BA7486">
        <w:t>de</w:t>
      </w:r>
      <w:r>
        <w:t xml:space="preserve"> tout le Nord-Est américain (Nouvelle-Angleterre, New York, Ontario, Québec et provinces atlantique</w:t>
      </w:r>
      <w:r w:rsidR="00CD2232">
        <w:t>s</w:t>
      </w:r>
      <w:r>
        <w:t>)</w:t>
      </w:r>
      <w:r w:rsidR="00CD2232">
        <w:t>. En gros, l</w:t>
      </w:r>
      <w:r w:rsidR="00F047A8">
        <w:t xml:space="preserve">a zone du </w:t>
      </w:r>
      <w:r w:rsidR="00CD2232" w:rsidRPr="00BB0F82">
        <w:rPr>
          <w:i/>
          <w:iCs/>
        </w:rPr>
        <w:t>NPCC</w:t>
      </w:r>
      <w:r w:rsidR="00F047A8">
        <w:t xml:space="preserve"> (plus Terre-Neuve)</w:t>
      </w:r>
    </w:p>
    <w:p w14:paraId="3CB47D0B" w14:textId="3289BAE3" w:rsidR="00D52473" w:rsidRDefault="00D52473" w:rsidP="00D52473">
      <w:pPr>
        <w:pStyle w:val="Paragraphedeliste"/>
        <w:numPr>
          <w:ilvl w:val="0"/>
          <w:numId w:val="1"/>
        </w:numPr>
        <w:jc w:val="both"/>
      </w:pPr>
      <w:r>
        <w:t>La transition</w:t>
      </w:r>
      <w:r w:rsidR="00F047A8">
        <w:t xml:space="preserve"> </w:t>
      </w:r>
      <w:r w:rsidR="00F674FF">
        <w:t>est optimisée</w:t>
      </w:r>
      <w:r>
        <w:t xml:space="preserve"> </w:t>
      </w:r>
      <w:r w:rsidR="00F674FF">
        <w:t xml:space="preserve">conjointement par les provinces et états, </w:t>
      </w:r>
      <w:r w:rsidR="00F047A8">
        <w:t>p</w:t>
      </w:r>
      <w:r w:rsidR="00CD2232">
        <w:t>our</w:t>
      </w:r>
      <w:r w:rsidR="00F674FF">
        <w:t xml:space="preserve"> à la fois satisfaire une demande accrue et décarboner la production</w:t>
      </w:r>
      <w:r w:rsidR="00F047A8">
        <w:t xml:space="preserve"> électrique à l'horizon 2040. </w:t>
      </w:r>
    </w:p>
    <w:p w14:paraId="7AF2C842" w14:textId="77777777" w:rsidR="00BA7486" w:rsidRDefault="00BA7486" w:rsidP="00BA7486">
      <w:pPr>
        <w:pStyle w:val="Paragraphedeliste"/>
        <w:numPr>
          <w:ilvl w:val="0"/>
          <w:numId w:val="1"/>
        </w:numPr>
        <w:jc w:val="both"/>
      </w:pPr>
      <w:r>
        <w:t>Notre modèle est complémentaire à celui d'ESMIA. Nous ne tenons pas compte de l'ensemble des énergies (fossiles en particulier), ni n'avons de demande endogène ou d'équilibre général. Nous couvrons</w:t>
      </w:r>
      <w:r w:rsidRPr="00BA7486">
        <w:t xml:space="preserve"> </w:t>
      </w:r>
      <w:r>
        <w:t>cependant une zone plus grande, incluant ainsi l'effet de la transition chez nos voisins immédiats, avec un modèle raffiné de l'hydro québécoise.  L'utilisation faite du modèle est aussi différente.</w:t>
      </w:r>
    </w:p>
    <w:p w14:paraId="52755961" w14:textId="77777777" w:rsidR="00BA7486" w:rsidRDefault="00BA7486" w:rsidP="00BA7486">
      <w:pPr>
        <w:pStyle w:val="Paragraphedeliste"/>
        <w:ind w:left="360"/>
        <w:jc w:val="both"/>
      </w:pPr>
    </w:p>
    <w:p w14:paraId="0952B177" w14:textId="660F9D83" w:rsidR="00822206" w:rsidRDefault="00D52473" w:rsidP="00073080">
      <w:pPr>
        <w:jc w:val="both"/>
        <w:rPr>
          <w:b/>
          <w:bCs/>
        </w:rPr>
      </w:pPr>
      <w:r w:rsidRPr="00F674FF">
        <w:rPr>
          <w:b/>
          <w:bCs/>
        </w:rPr>
        <w:t>Faits saillants</w:t>
      </w:r>
    </w:p>
    <w:p w14:paraId="5D68AB44" w14:textId="276DBD3F" w:rsidR="00CD2232" w:rsidRDefault="007F175D" w:rsidP="00F674FF">
      <w:pPr>
        <w:pStyle w:val="Paragraphedeliste"/>
        <w:numPr>
          <w:ilvl w:val="0"/>
          <w:numId w:val="2"/>
        </w:numPr>
        <w:jc w:val="both"/>
      </w:pPr>
      <w:r>
        <w:t>En une phrase, la différence entre le coût marginal de production</w:t>
      </w:r>
      <w:r w:rsidR="00404A16">
        <w:t xml:space="preserve"> d'un kWh</w:t>
      </w:r>
      <w:r>
        <w:t xml:space="preserve"> et le coût d'effacement </w:t>
      </w:r>
      <w:r w:rsidR="00404A16">
        <w:t xml:space="preserve">dudit kWh, </w:t>
      </w:r>
      <w:r>
        <w:t>pour un même service énergétique</w:t>
      </w:r>
      <w:r w:rsidR="00404A16">
        <w:t>,</w:t>
      </w:r>
      <w:r>
        <w:t xml:space="preserve"> croit très rapidement avec la demande</w:t>
      </w:r>
      <w:r w:rsidR="00CD2232">
        <w:t>.</w:t>
      </w:r>
    </w:p>
    <w:p w14:paraId="6F1DB23D" w14:textId="1B61F924" w:rsidR="00BA7486" w:rsidRDefault="00CD2232" w:rsidP="00F674FF">
      <w:pPr>
        <w:pStyle w:val="Paragraphedeliste"/>
        <w:numPr>
          <w:ilvl w:val="0"/>
          <w:numId w:val="2"/>
        </w:numPr>
        <w:jc w:val="both"/>
      </w:pPr>
      <w:r w:rsidRPr="00404A16">
        <w:rPr>
          <w:b/>
          <w:bCs/>
        </w:rPr>
        <w:t xml:space="preserve">Le coût </w:t>
      </w:r>
      <w:r w:rsidRPr="00404A16">
        <w:rPr>
          <w:b/>
          <w:bCs/>
          <w:i/>
          <w:iCs/>
        </w:rPr>
        <w:t>marginal</w:t>
      </w:r>
      <w:r w:rsidRPr="00404A16">
        <w:rPr>
          <w:b/>
          <w:bCs/>
        </w:rPr>
        <w:t xml:space="preserve"> de production </w:t>
      </w:r>
      <w:r w:rsidR="00BB0F82" w:rsidRPr="00404A16">
        <w:rPr>
          <w:b/>
          <w:bCs/>
        </w:rPr>
        <w:t>monte bien au-delà</w:t>
      </w:r>
      <w:r w:rsidRPr="00404A16">
        <w:rPr>
          <w:b/>
          <w:bCs/>
        </w:rPr>
        <w:t xml:space="preserve"> de </w:t>
      </w:r>
      <w:r w:rsidR="00BB0F82" w:rsidRPr="00404A16">
        <w:rPr>
          <w:b/>
          <w:bCs/>
        </w:rPr>
        <w:t>50 ¢</w:t>
      </w:r>
      <w:r w:rsidR="00A22126" w:rsidRPr="00404A16">
        <w:rPr>
          <w:b/>
          <w:bCs/>
        </w:rPr>
        <w:t xml:space="preserve">US </w:t>
      </w:r>
      <w:r w:rsidRPr="00404A16">
        <w:rPr>
          <w:b/>
          <w:bCs/>
        </w:rPr>
        <w:t>/</w:t>
      </w:r>
      <w:r w:rsidR="00A22126" w:rsidRPr="00404A16">
        <w:rPr>
          <w:b/>
          <w:bCs/>
        </w:rPr>
        <w:t xml:space="preserve"> </w:t>
      </w:r>
      <w:r w:rsidRPr="00404A16">
        <w:rPr>
          <w:b/>
          <w:bCs/>
        </w:rPr>
        <w:t>kWh</w:t>
      </w:r>
      <w:r w:rsidR="00BB0F82">
        <w:t>, pour répondre en 2040 à une demande de plus de 50% supérieure à celle de 2025.</w:t>
      </w:r>
    </w:p>
    <w:p w14:paraId="3D5E578F" w14:textId="53D4A75B" w:rsidR="007F175D" w:rsidRDefault="00BB0F82" w:rsidP="00F674FF">
      <w:pPr>
        <w:pStyle w:val="Paragraphedeliste"/>
        <w:numPr>
          <w:ilvl w:val="0"/>
          <w:numId w:val="2"/>
        </w:numPr>
        <w:jc w:val="both"/>
      </w:pPr>
      <w:r>
        <w:t xml:space="preserve">Ces coûts pourraient bien être des sous-estimations de la réalité. </w:t>
      </w:r>
    </w:p>
    <w:p w14:paraId="31B9D681" w14:textId="77777777" w:rsidR="001126F4" w:rsidRDefault="001126F4" w:rsidP="00BB0F82">
      <w:pPr>
        <w:jc w:val="both"/>
      </w:pPr>
    </w:p>
    <w:p w14:paraId="076F6F40" w14:textId="77777777" w:rsidR="00BB0F82" w:rsidRDefault="00BB0F82" w:rsidP="00BB0F82">
      <w:pPr>
        <w:jc w:val="both"/>
        <w:rPr>
          <w:b/>
          <w:bCs/>
        </w:rPr>
      </w:pPr>
      <w:r w:rsidRPr="00BB0F82">
        <w:rPr>
          <w:b/>
          <w:bCs/>
        </w:rPr>
        <w:t xml:space="preserve">Conclusions </w:t>
      </w:r>
    </w:p>
    <w:p w14:paraId="0E619875" w14:textId="77777777" w:rsidR="001126F4" w:rsidRPr="00BB0F82" w:rsidRDefault="001126F4" w:rsidP="00BB0F82">
      <w:pPr>
        <w:jc w:val="both"/>
        <w:rPr>
          <w:b/>
          <w:bCs/>
        </w:rPr>
      </w:pPr>
    </w:p>
    <w:p w14:paraId="2EDC8CAA" w14:textId="50C72098" w:rsidR="00BB0F82" w:rsidRPr="00A22126" w:rsidRDefault="00BB0F82" w:rsidP="00BB0F82">
      <w:pPr>
        <w:pStyle w:val="Paragraphedeliste"/>
        <w:numPr>
          <w:ilvl w:val="0"/>
          <w:numId w:val="4"/>
        </w:numPr>
        <w:jc w:val="both"/>
      </w:pPr>
      <w:r>
        <w:t xml:space="preserve">Nos résultats s'appliquent au Nord-Est américain dans son ensemble, pas particulièrement au Québec.  Les coûts marginaux pourraient donc être plus bas au Québec. </w:t>
      </w:r>
      <w:r w:rsidRPr="00F047A8">
        <w:t>Cependant</w:t>
      </w:r>
      <w:r>
        <w:t xml:space="preserve">, ils ne peuvent pas être plus bas </w:t>
      </w:r>
      <w:r w:rsidR="00A22126">
        <w:t xml:space="preserve">chez tous nos voisins aussi. </w:t>
      </w:r>
      <w:r w:rsidR="00A22126" w:rsidRPr="00A22126">
        <w:rPr>
          <w:b/>
          <w:bCs/>
        </w:rPr>
        <w:t>Donc eux</w:t>
      </w:r>
      <w:r w:rsidR="00A22126">
        <w:rPr>
          <w:b/>
          <w:bCs/>
        </w:rPr>
        <w:t>,</w:t>
      </w:r>
      <w:r w:rsidR="00A22126" w:rsidRPr="00A22126">
        <w:rPr>
          <w:b/>
          <w:bCs/>
        </w:rPr>
        <w:t xml:space="preserve"> ou nous</w:t>
      </w:r>
      <w:r w:rsidR="00A22126">
        <w:rPr>
          <w:b/>
          <w:bCs/>
        </w:rPr>
        <w:t xml:space="preserve">, </w:t>
      </w:r>
      <w:r w:rsidR="00A22126" w:rsidRPr="00A22126">
        <w:rPr>
          <w:b/>
          <w:bCs/>
        </w:rPr>
        <w:t>ou nous tous</w:t>
      </w:r>
      <w:r w:rsidR="00A22126">
        <w:rPr>
          <w:b/>
          <w:bCs/>
        </w:rPr>
        <w:t>,</w:t>
      </w:r>
      <w:r w:rsidR="00A22126" w:rsidRPr="00A22126">
        <w:rPr>
          <w:b/>
          <w:bCs/>
        </w:rPr>
        <w:t xml:space="preserve"> feront face à des coûts marginaux élevés</w:t>
      </w:r>
      <w:r w:rsidR="00A22126">
        <w:rPr>
          <w:b/>
          <w:bCs/>
        </w:rPr>
        <w:t xml:space="preserve"> </w:t>
      </w:r>
      <w:r w:rsidR="00A22126" w:rsidRPr="00A22126">
        <w:t>si la demande augmente substantiellement.</w:t>
      </w:r>
    </w:p>
    <w:p w14:paraId="35FDBED8" w14:textId="42D6B297" w:rsidR="00A22126" w:rsidRDefault="00A22126" w:rsidP="00BB0F82">
      <w:pPr>
        <w:pStyle w:val="Paragraphedeliste"/>
        <w:numPr>
          <w:ilvl w:val="0"/>
          <w:numId w:val="4"/>
        </w:numPr>
        <w:jc w:val="both"/>
      </w:pPr>
      <w:r>
        <w:lastRenderedPageBreak/>
        <w:t xml:space="preserve">Nous observons des coûts marginaux élevés </w:t>
      </w:r>
      <w:r w:rsidRPr="00A22126">
        <w:rPr>
          <w:i/>
          <w:iCs/>
        </w:rPr>
        <w:t>quand la demande augmente</w:t>
      </w:r>
      <w:r>
        <w:t xml:space="preserve">. Pour une croissance modérée sur 15 ans, ils sont raisonnables. </w:t>
      </w:r>
    </w:p>
    <w:p w14:paraId="08B98E4B" w14:textId="4EBE2F08" w:rsidR="00404A16" w:rsidRDefault="00A22126" w:rsidP="00404A16">
      <w:pPr>
        <w:pStyle w:val="Paragraphedeliste"/>
        <w:numPr>
          <w:ilvl w:val="0"/>
          <w:numId w:val="4"/>
        </w:numPr>
        <w:jc w:val="both"/>
      </w:pPr>
      <w:r w:rsidRPr="00A22126">
        <w:rPr>
          <w:b/>
          <w:bCs/>
        </w:rPr>
        <w:t>Au final:</w:t>
      </w:r>
      <w:r>
        <w:t xml:space="preserve"> on ne peut pas faire une transition pour sortir des carburants fossiles sans augmenter la demande. Et on ne peut pas augmenter la demande sans une augmentation abrupte du coût marginal de l'électricité.</w:t>
      </w:r>
    </w:p>
    <w:p w14:paraId="663F976B" w14:textId="77777777" w:rsidR="00404A16" w:rsidRDefault="00404A16" w:rsidP="00A22126">
      <w:pPr>
        <w:jc w:val="both"/>
        <w:rPr>
          <w:b/>
          <w:bCs/>
        </w:rPr>
      </w:pPr>
    </w:p>
    <w:p w14:paraId="2847EE56" w14:textId="3E8198DA" w:rsidR="00404A16" w:rsidRDefault="00404A16" w:rsidP="00404A16">
      <w:pPr>
        <w:jc w:val="both"/>
      </w:pPr>
      <w:r>
        <w:t xml:space="preserve">Notre modèle ne couvre pas l'ensemble du système énergétique. On </w:t>
      </w:r>
      <w:r w:rsidRPr="00F047A8">
        <w:t>peut</w:t>
      </w:r>
      <w:r>
        <w:t xml:space="preserve"> </w:t>
      </w:r>
      <w:r w:rsidR="00F047A8">
        <w:t xml:space="preserve">décider de </w:t>
      </w:r>
      <w:r>
        <w:t>continuer à émettre des GES sans retenue, et faire face aux conséquences bien sûr.  Dans un tel cas, la transition n'est pas utile, et nos recommandations ne s'appliquent pas.</w:t>
      </w:r>
    </w:p>
    <w:p w14:paraId="173D5DE6" w14:textId="77777777" w:rsidR="00404A16" w:rsidRDefault="00404A16" w:rsidP="00A22126">
      <w:pPr>
        <w:jc w:val="both"/>
        <w:rPr>
          <w:b/>
          <w:bCs/>
        </w:rPr>
      </w:pPr>
    </w:p>
    <w:p w14:paraId="6AEDD57B" w14:textId="595E3021" w:rsidR="00A22126" w:rsidRPr="00A22126" w:rsidRDefault="00A22126" w:rsidP="00A22126">
      <w:pPr>
        <w:jc w:val="both"/>
        <w:rPr>
          <w:b/>
          <w:bCs/>
        </w:rPr>
      </w:pPr>
      <w:r w:rsidRPr="00A22126">
        <w:rPr>
          <w:b/>
          <w:bCs/>
        </w:rPr>
        <w:t>Recomm</w:t>
      </w:r>
      <w:r w:rsidR="00795ED8">
        <w:rPr>
          <w:b/>
          <w:bCs/>
        </w:rPr>
        <w:t>a</w:t>
      </w:r>
      <w:r w:rsidRPr="00A22126">
        <w:rPr>
          <w:b/>
          <w:bCs/>
        </w:rPr>
        <w:t>ndations</w:t>
      </w:r>
    </w:p>
    <w:p w14:paraId="761F36C3" w14:textId="5752617C" w:rsidR="006C4264" w:rsidRDefault="006C4264" w:rsidP="006C4264">
      <w:pPr>
        <w:pStyle w:val="Paragraphedeliste"/>
        <w:numPr>
          <w:ilvl w:val="0"/>
          <w:numId w:val="5"/>
        </w:numPr>
        <w:jc w:val="both"/>
      </w:pPr>
      <w:r>
        <w:t xml:space="preserve">Toute limitation de la croissance de la demande québécoise, </w:t>
      </w:r>
      <w:r w:rsidRPr="006C4264">
        <w:rPr>
          <w:i/>
          <w:iCs/>
        </w:rPr>
        <w:t>pour un même service énergétique</w:t>
      </w:r>
      <w:r>
        <w:t>, nous permet</w:t>
      </w:r>
      <w:r w:rsidR="00F047A8">
        <w:t xml:space="preserve"> : </w:t>
      </w:r>
    </w:p>
    <w:p w14:paraId="66DF49F5" w14:textId="33F9DC07" w:rsidR="006C4264" w:rsidRDefault="00F047A8" w:rsidP="006C4264">
      <w:pPr>
        <w:pStyle w:val="Paragraphedeliste"/>
        <w:numPr>
          <w:ilvl w:val="1"/>
          <w:numId w:val="5"/>
        </w:numPr>
        <w:jc w:val="both"/>
      </w:pPr>
      <w:r>
        <w:t xml:space="preserve">de conserver des </w:t>
      </w:r>
      <w:r w:rsidR="006C4264">
        <w:t xml:space="preserve">coûts marginaux de production </w:t>
      </w:r>
      <w:r>
        <w:t>raisonnables</w:t>
      </w:r>
      <w:r w:rsidR="006C4264">
        <w:t>;</w:t>
      </w:r>
    </w:p>
    <w:p w14:paraId="258215B5" w14:textId="4B6D5AE9" w:rsidR="006C4264" w:rsidRDefault="006C4264" w:rsidP="006C4264">
      <w:pPr>
        <w:pStyle w:val="Paragraphedeliste"/>
        <w:numPr>
          <w:ilvl w:val="1"/>
          <w:numId w:val="5"/>
        </w:numPr>
        <w:jc w:val="both"/>
      </w:pPr>
      <w:r>
        <w:t xml:space="preserve">de libérer des électrons pour nos voisins qui </w:t>
      </w:r>
      <w:r>
        <w:rPr>
          <w:i/>
          <w:iCs/>
        </w:rPr>
        <w:t>eux</w:t>
      </w:r>
      <w:r>
        <w:t xml:space="preserve"> feront vraisemblablement face à des coûts marginaux de production très élevés, et seront donc prêts à payer un prix en conséquence.</w:t>
      </w:r>
    </w:p>
    <w:p w14:paraId="5D0EC4FC" w14:textId="2203ABDB" w:rsidR="006C4264" w:rsidRDefault="006C4264" w:rsidP="006C4264">
      <w:pPr>
        <w:pStyle w:val="Paragraphedeliste"/>
        <w:numPr>
          <w:ilvl w:val="0"/>
          <w:numId w:val="5"/>
        </w:numPr>
        <w:jc w:val="both"/>
      </w:pPr>
      <w:r>
        <w:t>Par ces deux effets combinés, l'efficacité énergétique est une mine d'or, qu'il est urgent d'exploiter</w:t>
      </w:r>
      <w:r w:rsidR="00DF4F78">
        <w:t>:</w:t>
      </w:r>
    </w:p>
    <w:p w14:paraId="3F6C714A" w14:textId="7FF95981" w:rsidR="00DF4F78" w:rsidRDefault="00DF4F78" w:rsidP="00DF4F78">
      <w:pPr>
        <w:pStyle w:val="Paragraphedeliste"/>
        <w:numPr>
          <w:ilvl w:val="1"/>
          <w:numId w:val="5"/>
        </w:numPr>
        <w:jc w:val="both"/>
      </w:pPr>
      <w:r>
        <w:t xml:space="preserve">en haussant le prix de l'électricité </w:t>
      </w:r>
      <w:r w:rsidR="00795ED8">
        <w:t>pour tout usage excessif.</w:t>
      </w:r>
      <w:r>
        <w:t xml:space="preserve"> C'est la seule façon de donner sa réelle valeur à un bien</w:t>
      </w:r>
      <w:r w:rsidR="00795ED8">
        <w:t>;</w:t>
      </w:r>
    </w:p>
    <w:p w14:paraId="35309E9C" w14:textId="39896FB3" w:rsidR="00795ED8" w:rsidRDefault="00795ED8" w:rsidP="00DF4F78">
      <w:pPr>
        <w:pStyle w:val="Paragraphedeliste"/>
        <w:numPr>
          <w:ilvl w:val="1"/>
          <w:numId w:val="5"/>
        </w:numPr>
        <w:jc w:val="both"/>
      </w:pPr>
      <w:r>
        <w:t>en haussant les exigences du Code du bâtiment;</w:t>
      </w:r>
    </w:p>
    <w:p w14:paraId="551A7EAA" w14:textId="7A6CAAC2" w:rsidR="00DF4F78" w:rsidRDefault="00DF4F78" w:rsidP="00DF4F78">
      <w:pPr>
        <w:pStyle w:val="Paragraphedeliste"/>
        <w:numPr>
          <w:ilvl w:val="1"/>
          <w:numId w:val="5"/>
        </w:numPr>
        <w:jc w:val="both"/>
      </w:pPr>
      <w:r>
        <w:t>en considérant les mesures d'efficacité comme une source d'énergie, et non comme un programme</w:t>
      </w:r>
      <w:r w:rsidR="00EC15C2">
        <w:t xml:space="preserve"> </w:t>
      </w:r>
      <w:r>
        <w:t xml:space="preserve"> ou une cible</w:t>
      </w:r>
      <w:r w:rsidR="00795ED8">
        <w:t>;</w:t>
      </w:r>
    </w:p>
    <w:p w14:paraId="3ACDEAE1" w14:textId="6D430B48" w:rsidR="00DF4F78" w:rsidRDefault="00DF4F78" w:rsidP="00DF4F78">
      <w:pPr>
        <w:pStyle w:val="Paragraphedeliste"/>
        <w:numPr>
          <w:ilvl w:val="1"/>
          <w:numId w:val="5"/>
        </w:numPr>
        <w:jc w:val="both"/>
      </w:pPr>
      <w:r>
        <w:t>en instaurant une réelle culture d</w:t>
      </w:r>
      <w:r w:rsidR="00913FA4">
        <w:t xml:space="preserve">'efficacité, où la </w:t>
      </w:r>
      <w:r>
        <w:t>sobriété</w:t>
      </w:r>
      <w:r w:rsidR="00913FA4">
        <w:t xml:space="preserve"> n'est pas perçue comme une contrainte mais comme un levier économique.</w:t>
      </w:r>
    </w:p>
    <w:p w14:paraId="1B432A02" w14:textId="77777777" w:rsidR="00795ED8" w:rsidRDefault="00795ED8" w:rsidP="00404A16">
      <w:pPr>
        <w:jc w:val="both"/>
      </w:pPr>
    </w:p>
    <w:p w14:paraId="63B39671" w14:textId="4404776A" w:rsidR="00404A16" w:rsidRDefault="006C4264" w:rsidP="00404A16">
      <w:pPr>
        <w:jc w:val="both"/>
      </w:pPr>
      <w:r>
        <w:t xml:space="preserve">En terminant, un ingrédient incontournable </w:t>
      </w:r>
      <w:r w:rsidR="00795ED8">
        <w:t>pour mener la marche</w:t>
      </w:r>
      <w:r w:rsidR="00913FA4">
        <w:t xml:space="preserve"> vers l'efficacité, </w:t>
      </w:r>
      <w:r w:rsidR="00DF4F78">
        <w:t>c'est</w:t>
      </w:r>
      <w:r>
        <w:t xml:space="preserve"> le courage politique</w:t>
      </w:r>
      <w:r w:rsidR="00795ED8">
        <w:t xml:space="preserve"> et une certaine abnégation</w:t>
      </w:r>
      <w:r>
        <w:t xml:space="preserve">. </w:t>
      </w:r>
      <w:r w:rsidR="00795ED8">
        <w:t>Pour m’auto-citer sans vergogne, « S</w:t>
      </w:r>
      <w:r w:rsidR="00913FA4">
        <w:t>i d</w:t>
      </w:r>
      <w:r w:rsidR="00913FA4" w:rsidRPr="00913FA4">
        <w:t>es centrales ont été nommées en l'honneur de politiciens</w:t>
      </w:r>
      <w:r w:rsidR="00913FA4">
        <w:t>, d</w:t>
      </w:r>
      <w:r w:rsidR="00913FA4" w:rsidRPr="00913FA4">
        <w:t>es tubes de calfeutrant, jamais.</w:t>
      </w:r>
      <w:r w:rsidR="00795ED8">
        <w:t> »</w:t>
      </w:r>
    </w:p>
    <w:p w14:paraId="70D2CFBE" w14:textId="77777777" w:rsidR="00913FA4" w:rsidRDefault="00913FA4" w:rsidP="00404A16">
      <w:pPr>
        <w:jc w:val="both"/>
      </w:pPr>
    </w:p>
    <w:p w14:paraId="162DB6EE" w14:textId="77777777" w:rsidR="00100308" w:rsidRDefault="00100308" w:rsidP="00404A16">
      <w:pPr>
        <w:jc w:val="both"/>
      </w:pPr>
    </w:p>
    <w:p w14:paraId="2E62C7C3" w14:textId="195BDEAC" w:rsidR="00100308" w:rsidRDefault="00100308" w:rsidP="00404A16">
      <w:pPr>
        <w:jc w:val="both"/>
      </w:pPr>
      <w:r>
        <w:t>Michel Denault</w:t>
      </w:r>
    </w:p>
    <w:p w14:paraId="09F661AC" w14:textId="747A2B0C" w:rsidR="00100308" w:rsidRDefault="00100308" w:rsidP="00404A16">
      <w:pPr>
        <w:jc w:val="both"/>
      </w:pPr>
      <w:r>
        <w:t>Professeur titulaire</w:t>
      </w:r>
    </w:p>
    <w:p w14:paraId="10FEC2DC" w14:textId="5A8F7AFD" w:rsidR="00100308" w:rsidRDefault="00100308" w:rsidP="00404A16">
      <w:pPr>
        <w:jc w:val="both"/>
      </w:pPr>
      <w:r>
        <w:t>Département des sciences de la décision</w:t>
      </w:r>
    </w:p>
    <w:p w14:paraId="07ECFFD7" w14:textId="23CF3BE5" w:rsidR="00100308" w:rsidRDefault="00100308" w:rsidP="00404A16">
      <w:pPr>
        <w:jc w:val="both"/>
      </w:pPr>
      <w:r>
        <w:t>HEC Montréal</w:t>
      </w:r>
    </w:p>
    <w:p w14:paraId="0396FF98" w14:textId="77777777" w:rsidR="00404A16" w:rsidRDefault="00404A16" w:rsidP="00BB0F82">
      <w:pPr>
        <w:jc w:val="both"/>
      </w:pPr>
    </w:p>
    <w:p w14:paraId="49A45411" w14:textId="77777777" w:rsidR="00404A16" w:rsidRDefault="00404A16" w:rsidP="00BB0F82">
      <w:pPr>
        <w:jc w:val="both"/>
      </w:pPr>
    </w:p>
    <w:p w14:paraId="1308600F" w14:textId="77777777" w:rsidR="00074549" w:rsidRPr="00074549" w:rsidRDefault="00074549"/>
    <w:p w14:paraId="6B462D4C" w14:textId="77777777" w:rsidR="00074549" w:rsidRDefault="00074549"/>
    <w:p w14:paraId="29BC7AF9" w14:textId="77777777" w:rsidR="00074549" w:rsidRDefault="00074549"/>
    <w:p w14:paraId="5C48678F" w14:textId="77777777" w:rsidR="00074549" w:rsidRDefault="00074549"/>
    <w:sectPr w:rsidR="0007454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09921" w14:textId="77777777" w:rsidR="00AB2A92" w:rsidRDefault="00AB2A92" w:rsidP="00AB2A92">
      <w:r>
        <w:separator/>
      </w:r>
    </w:p>
  </w:endnote>
  <w:endnote w:type="continuationSeparator" w:id="0">
    <w:p w14:paraId="436D3876" w14:textId="77777777" w:rsidR="00AB2A92" w:rsidRDefault="00AB2A92" w:rsidP="00AB2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D2989" w14:textId="77777777" w:rsidR="00AB2A92" w:rsidRDefault="00AB2A92" w:rsidP="00AB2A92">
      <w:r>
        <w:separator/>
      </w:r>
    </w:p>
  </w:footnote>
  <w:footnote w:type="continuationSeparator" w:id="0">
    <w:p w14:paraId="3C548736" w14:textId="77777777" w:rsidR="00AB2A92" w:rsidRDefault="00AB2A92" w:rsidP="00AB2A92">
      <w:r>
        <w:continuationSeparator/>
      </w:r>
    </w:p>
  </w:footnote>
  <w:footnote w:id="1">
    <w:p w14:paraId="72ADB2A6" w14:textId="28FEC32B" w:rsidR="00AB2A92" w:rsidRPr="00D746B6" w:rsidRDefault="00AB2A92">
      <w:pPr>
        <w:pStyle w:val="Notedebasdepage"/>
      </w:pPr>
      <w:r>
        <w:rPr>
          <w:rStyle w:val="Appelnotedebasdep"/>
        </w:rPr>
        <w:footnoteRef/>
      </w:r>
      <w:r w:rsidRPr="00AB2A92">
        <w:rPr>
          <w:lang w:val="en-CA"/>
        </w:rPr>
        <w:t xml:space="preserve"> </w:t>
      </w:r>
      <w:r w:rsidRPr="00AB2A92">
        <w:rPr>
          <w:i/>
          <w:iCs/>
          <w:lang w:val="en-CA"/>
        </w:rPr>
        <w:t xml:space="preserve">On the Value of Saved </w:t>
      </w:r>
      <w:r w:rsidRPr="00D746B6">
        <w:rPr>
          <w:i/>
          <w:iCs/>
          <w:lang w:val="en-CA"/>
        </w:rPr>
        <w:t>Power</w:t>
      </w:r>
      <w:r w:rsidR="00D746B6" w:rsidRPr="00D746B6">
        <w:rPr>
          <w:i/>
          <w:iCs/>
          <w:lang w:val="en-CA"/>
        </w:rPr>
        <w:t xml:space="preserve"> </w:t>
      </w:r>
      <w:r w:rsidR="00D746B6" w:rsidRPr="00D746B6">
        <w:rPr>
          <w:i/>
          <w:iCs/>
          <w:lang w:val="en-CA"/>
        </w:rPr>
        <w:t>in net-zero North-Eastern America</w:t>
      </w:r>
      <w:r w:rsidRPr="00D746B6">
        <w:t xml:space="preserve">, Denault, Mitjana, Pineau, publié dans </w:t>
      </w:r>
      <w:hyperlink r:id="rId1" w:history="1">
        <w:r w:rsidRPr="00D746B6">
          <w:rPr>
            <w:rStyle w:val="Lienhypertexte"/>
            <w:i/>
            <w:iCs/>
          </w:rPr>
          <w:t>Energy Strategy Reviews 62</w:t>
        </w:r>
      </w:hyperlink>
      <w:r w:rsidRPr="00D746B6">
        <w:rPr>
          <w:i/>
          <w:iCs/>
        </w:rPr>
        <w:t xml:space="preserve"> (2025) 101967. </w:t>
      </w:r>
      <w:r w:rsidRPr="00D746B6">
        <w:t xml:space="preserve"> Une </w:t>
      </w:r>
      <w:hyperlink r:id="rId2" w:history="1">
        <w:r w:rsidRPr="00D746B6">
          <w:rPr>
            <w:rStyle w:val="Lienhypertexte"/>
          </w:rPr>
          <w:t>version sommaire</w:t>
        </w:r>
      </w:hyperlink>
      <w:r w:rsidRPr="00D746B6">
        <w:t xml:space="preserve"> est disponible dans La Conversation.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8E2C33"/>
    <w:multiLevelType w:val="hybridMultilevel"/>
    <w:tmpl w:val="DA988AE2"/>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15:restartNumberingAfterBreak="0">
    <w:nsid w:val="42864FAF"/>
    <w:multiLevelType w:val="hybridMultilevel"/>
    <w:tmpl w:val="4B824F3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52D33568"/>
    <w:multiLevelType w:val="hybridMultilevel"/>
    <w:tmpl w:val="3C6EA23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5E732AE1"/>
    <w:multiLevelType w:val="hybridMultilevel"/>
    <w:tmpl w:val="A02AF2F8"/>
    <w:lvl w:ilvl="0" w:tplc="0C0C0001">
      <w:start w:val="1"/>
      <w:numFmt w:val="bullet"/>
      <w:lvlText w:val=""/>
      <w:lvlJc w:val="left"/>
      <w:pPr>
        <w:ind w:left="360" w:hanging="360"/>
      </w:pPr>
      <w:rPr>
        <w:rFonts w:ascii="Symbol" w:hAnsi="Symbol" w:hint="default"/>
      </w:rPr>
    </w:lvl>
    <w:lvl w:ilvl="1" w:tplc="0C0C000F">
      <w:start w:val="1"/>
      <w:numFmt w:val="decimal"/>
      <w:lvlText w:val="%2."/>
      <w:lvlJc w:val="left"/>
      <w:pPr>
        <w:ind w:left="1080" w:hanging="360"/>
      </w:p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 w15:restartNumberingAfterBreak="0">
    <w:nsid w:val="66D70E35"/>
    <w:multiLevelType w:val="hybridMultilevel"/>
    <w:tmpl w:val="6066BBE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16cid:durableId="881525061">
    <w:abstractNumId w:val="2"/>
  </w:num>
  <w:num w:numId="2" w16cid:durableId="1320035341">
    <w:abstractNumId w:val="1"/>
  </w:num>
  <w:num w:numId="3" w16cid:durableId="2135560041">
    <w:abstractNumId w:val="4"/>
  </w:num>
  <w:num w:numId="4" w16cid:durableId="1446923757">
    <w:abstractNumId w:val="0"/>
  </w:num>
  <w:num w:numId="5" w16cid:durableId="1887060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3E9"/>
    <w:rsid w:val="00073080"/>
    <w:rsid w:val="00074549"/>
    <w:rsid w:val="00100308"/>
    <w:rsid w:val="001126F4"/>
    <w:rsid w:val="00376E43"/>
    <w:rsid w:val="003B5189"/>
    <w:rsid w:val="00404A16"/>
    <w:rsid w:val="005F746B"/>
    <w:rsid w:val="00646803"/>
    <w:rsid w:val="006C4264"/>
    <w:rsid w:val="0079545E"/>
    <w:rsid w:val="00795ED8"/>
    <w:rsid w:val="007B3C39"/>
    <w:rsid w:val="007F175D"/>
    <w:rsid w:val="007F7843"/>
    <w:rsid w:val="00822206"/>
    <w:rsid w:val="008C1A1F"/>
    <w:rsid w:val="00913FA4"/>
    <w:rsid w:val="00926F4A"/>
    <w:rsid w:val="00A22126"/>
    <w:rsid w:val="00AB2A92"/>
    <w:rsid w:val="00B53BC7"/>
    <w:rsid w:val="00BA7486"/>
    <w:rsid w:val="00BB0F82"/>
    <w:rsid w:val="00C834D5"/>
    <w:rsid w:val="00CB33E9"/>
    <w:rsid w:val="00CD2232"/>
    <w:rsid w:val="00D52473"/>
    <w:rsid w:val="00D54081"/>
    <w:rsid w:val="00D70E4A"/>
    <w:rsid w:val="00D746B6"/>
    <w:rsid w:val="00D93738"/>
    <w:rsid w:val="00DF4F78"/>
    <w:rsid w:val="00EC15C2"/>
    <w:rsid w:val="00F047A8"/>
    <w:rsid w:val="00F674F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FEF46"/>
  <w15:chartTrackingRefBased/>
  <w15:docId w15:val="{CCBF5626-327C-42AF-996B-3C5887354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B33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B33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B33E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B33E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B33E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B33E9"/>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B33E9"/>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B33E9"/>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B33E9"/>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B33E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B33E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B33E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B33E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B33E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B33E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B33E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B33E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B33E9"/>
    <w:rPr>
      <w:rFonts w:eastAsiaTheme="majorEastAsia" w:cstheme="majorBidi"/>
      <w:color w:val="272727" w:themeColor="text1" w:themeTint="D8"/>
    </w:rPr>
  </w:style>
  <w:style w:type="paragraph" w:styleId="Titre">
    <w:name w:val="Title"/>
    <w:basedOn w:val="Normal"/>
    <w:next w:val="Normal"/>
    <w:link w:val="TitreCar"/>
    <w:uiPriority w:val="10"/>
    <w:qFormat/>
    <w:rsid w:val="00CB33E9"/>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B33E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B33E9"/>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B33E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B33E9"/>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CB33E9"/>
    <w:rPr>
      <w:i/>
      <w:iCs/>
      <w:color w:val="404040" w:themeColor="text1" w:themeTint="BF"/>
    </w:rPr>
  </w:style>
  <w:style w:type="paragraph" w:styleId="Paragraphedeliste">
    <w:name w:val="List Paragraph"/>
    <w:basedOn w:val="Normal"/>
    <w:uiPriority w:val="34"/>
    <w:qFormat/>
    <w:rsid w:val="00CB33E9"/>
    <w:pPr>
      <w:ind w:left="720"/>
      <w:contextualSpacing/>
    </w:pPr>
  </w:style>
  <w:style w:type="character" w:styleId="Accentuationintense">
    <w:name w:val="Intense Emphasis"/>
    <w:basedOn w:val="Policepardfaut"/>
    <w:uiPriority w:val="21"/>
    <w:qFormat/>
    <w:rsid w:val="00CB33E9"/>
    <w:rPr>
      <w:i/>
      <w:iCs/>
      <w:color w:val="0F4761" w:themeColor="accent1" w:themeShade="BF"/>
    </w:rPr>
  </w:style>
  <w:style w:type="paragraph" w:styleId="Citationintense">
    <w:name w:val="Intense Quote"/>
    <w:basedOn w:val="Normal"/>
    <w:next w:val="Normal"/>
    <w:link w:val="CitationintenseCar"/>
    <w:uiPriority w:val="30"/>
    <w:qFormat/>
    <w:rsid w:val="00CB33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B33E9"/>
    <w:rPr>
      <w:i/>
      <w:iCs/>
      <w:color w:val="0F4761" w:themeColor="accent1" w:themeShade="BF"/>
    </w:rPr>
  </w:style>
  <w:style w:type="character" w:styleId="Rfrenceintense">
    <w:name w:val="Intense Reference"/>
    <w:basedOn w:val="Policepardfaut"/>
    <w:uiPriority w:val="32"/>
    <w:qFormat/>
    <w:rsid w:val="00CB33E9"/>
    <w:rPr>
      <w:b/>
      <w:bCs/>
      <w:smallCaps/>
      <w:color w:val="0F4761" w:themeColor="accent1" w:themeShade="BF"/>
      <w:spacing w:val="5"/>
    </w:rPr>
  </w:style>
  <w:style w:type="paragraph" w:styleId="Notedebasdepage">
    <w:name w:val="footnote text"/>
    <w:basedOn w:val="Normal"/>
    <w:link w:val="NotedebasdepageCar"/>
    <w:uiPriority w:val="99"/>
    <w:semiHidden/>
    <w:unhideWhenUsed/>
    <w:rsid w:val="00AB2A92"/>
    <w:rPr>
      <w:sz w:val="20"/>
      <w:szCs w:val="20"/>
    </w:rPr>
  </w:style>
  <w:style w:type="character" w:customStyle="1" w:styleId="NotedebasdepageCar">
    <w:name w:val="Note de bas de page Car"/>
    <w:basedOn w:val="Policepardfaut"/>
    <w:link w:val="Notedebasdepage"/>
    <w:uiPriority w:val="99"/>
    <w:semiHidden/>
    <w:rsid w:val="00AB2A92"/>
    <w:rPr>
      <w:sz w:val="20"/>
      <w:szCs w:val="20"/>
    </w:rPr>
  </w:style>
  <w:style w:type="character" w:styleId="Appelnotedebasdep">
    <w:name w:val="footnote reference"/>
    <w:basedOn w:val="Policepardfaut"/>
    <w:uiPriority w:val="99"/>
    <w:semiHidden/>
    <w:unhideWhenUsed/>
    <w:rsid w:val="00AB2A92"/>
    <w:rPr>
      <w:vertAlign w:val="superscript"/>
    </w:rPr>
  </w:style>
  <w:style w:type="character" w:styleId="Lienhypertexte">
    <w:name w:val="Hyperlink"/>
    <w:basedOn w:val="Policepardfaut"/>
    <w:uiPriority w:val="99"/>
    <w:unhideWhenUsed/>
    <w:rsid w:val="00AB2A92"/>
    <w:rPr>
      <w:color w:val="467886" w:themeColor="hyperlink"/>
      <w:u w:val="single"/>
    </w:rPr>
  </w:style>
  <w:style w:type="character" w:styleId="Mentionnonrsolue">
    <w:name w:val="Unresolved Mention"/>
    <w:basedOn w:val="Policepardfaut"/>
    <w:uiPriority w:val="99"/>
    <w:semiHidden/>
    <w:unhideWhenUsed/>
    <w:rsid w:val="00AB2A92"/>
    <w:rPr>
      <w:color w:val="605E5C"/>
      <w:shd w:val="clear" w:color="auto" w:fill="E1DFDD"/>
    </w:rPr>
  </w:style>
  <w:style w:type="character" w:styleId="Lienhypertextesuivivisit">
    <w:name w:val="FollowedHyperlink"/>
    <w:basedOn w:val="Policepardfaut"/>
    <w:uiPriority w:val="99"/>
    <w:semiHidden/>
    <w:unhideWhenUsed/>
    <w:rsid w:val="00376E4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91836">
      <w:bodyDiv w:val="1"/>
      <w:marLeft w:val="0"/>
      <w:marRight w:val="0"/>
      <w:marTop w:val="0"/>
      <w:marBottom w:val="0"/>
      <w:divBdr>
        <w:top w:val="none" w:sz="0" w:space="0" w:color="auto"/>
        <w:left w:val="none" w:sz="0" w:space="0" w:color="auto"/>
        <w:bottom w:val="none" w:sz="0" w:space="0" w:color="auto"/>
        <w:right w:val="none" w:sz="0" w:space="0" w:color="auto"/>
      </w:divBdr>
    </w:div>
    <w:div w:id="35700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2" Type="http://schemas.openxmlformats.org/officeDocument/2006/relationships/hyperlink" Target="https://doi.org/10.64628/AAP.drupaasya" TargetMode="External"/><Relationship Id="rId1" Type="http://schemas.openxmlformats.org/officeDocument/2006/relationships/hyperlink" Target="https://doi.org/10.1016/j.esr.2025.10196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4CB5C801AE834BBAE3FEC12BD5C5D4" ma:contentTypeVersion="14" ma:contentTypeDescription="Crée un document." ma:contentTypeScope="" ma:versionID="6151f23d0537b4db75048764a70e0696">
  <xsd:schema xmlns:xsd="http://www.w3.org/2001/XMLSchema" xmlns:xs="http://www.w3.org/2001/XMLSchema" xmlns:p="http://schemas.microsoft.com/office/2006/metadata/properties" xmlns:ns2="8b9c092a-4ad6-4a35-b595-0549dfd57430" xmlns:ns3="f063fc35-6cee-47f6-8a5e-4963d994be3c" targetNamespace="http://schemas.microsoft.com/office/2006/metadata/properties" ma:root="true" ma:fieldsID="3c3e5ffaa845303b03dfae5f65974401" ns2:_="" ns3:_="">
    <xsd:import namespace="8b9c092a-4ad6-4a35-b595-0549dfd57430"/>
    <xsd:import namespace="f063fc35-6cee-47f6-8a5e-4963d994be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9c092a-4ad6-4a35-b595-0549dfd57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5e293594-50ac-4a05-9790-6998d69cc38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63fc35-6cee-47f6-8a5e-4963d994be3c"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2ddd508a-db94-4dae-8153-ad283819d6ac}" ma:internalName="TaxCatchAll" ma:showField="CatchAllData" ma:web="f063fc35-6cee-47f6-8a5e-4963d994be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063fc35-6cee-47f6-8a5e-4963d994be3c" xsi:nil="true"/>
    <lcf76f155ced4ddcb4097134ff3c332f xmlns="8b9c092a-4ad6-4a35-b595-0549dfd574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612C67-F35E-4E81-BD4C-B74BE6719388}"/>
</file>

<file path=customXml/itemProps2.xml><?xml version="1.0" encoding="utf-8"?>
<ds:datastoreItem xmlns:ds="http://schemas.openxmlformats.org/officeDocument/2006/customXml" ds:itemID="{B3B80679-61E5-426D-81FC-7E18060EBE46}"/>
</file>

<file path=customXml/itemProps3.xml><?xml version="1.0" encoding="utf-8"?>
<ds:datastoreItem xmlns:ds="http://schemas.openxmlformats.org/officeDocument/2006/customXml" ds:itemID="{A82BDE38-68F4-4AF3-8341-17BB3B77DF96}"/>
</file>

<file path=docProps/app.xml><?xml version="1.0" encoding="utf-8"?>
<Properties xmlns="http://schemas.openxmlformats.org/officeDocument/2006/extended-properties" xmlns:vt="http://schemas.openxmlformats.org/officeDocument/2006/docPropsVTypes">
  <Template>Normal.dotm</Template>
  <TotalTime>251</TotalTime>
  <Pages>2</Pages>
  <Words>615</Words>
  <Characters>3384</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Denault</dc:creator>
  <cp:keywords/>
  <dc:description/>
  <cp:lastModifiedBy>Michel Denault</cp:lastModifiedBy>
  <cp:revision>9</cp:revision>
  <dcterms:created xsi:type="dcterms:W3CDTF">2026-02-10T01:42:00Z</dcterms:created>
  <dcterms:modified xsi:type="dcterms:W3CDTF">2026-02-14T03:25:00Z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0x010100514CB5C801AE834BBAE3FEC12BD5C5D4</vt:lpwstr>
  </property>
</Properties>
</file>